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16AB" w14:textId="77777777" w:rsidR="004E7B5B" w:rsidRPr="004E7B5B" w:rsidRDefault="004E7B5B" w:rsidP="004E7B5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7B5B">
        <w:rPr>
          <w:rFonts w:ascii="Times New Roman" w:eastAsia="Times New Roman" w:hAnsi="Times New Roman" w:cs="Times New Roman"/>
          <w:b/>
          <w:bCs/>
          <w:kern w:val="0"/>
          <w:sz w:val="27"/>
          <w:szCs w:val="27"/>
          <w14:ligatures w14:val="none"/>
        </w:rPr>
        <w:t>The Hundred Languages of Children</w:t>
      </w:r>
    </w:p>
    <w:p w14:paraId="70257051"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t xml:space="preserve">The </w:t>
      </w:r>
      <w:r w:rsidRPr="004E7B5B">
        <w:rPr>
          <w:rFonts w:ascii="Times New Roman" w:eastAsia="Times New Roman" w:hAnsi="Times New Roman" w:cs="Times New Roman"/>
          <w:b/>
          <w:bCs/>
          <w:kern w:val="0"/>
          <w:sz w:val="24"/>
          <w:szCs w:val="24"/>
          <w14:ligatures w14:val="none"/>
        </w:rPr>
        <w:t>Reggio Emilia educational philosophy</w:t>
      </w:r>
      <w:r w:rsidRPr="004E7B5B">
        <w:rPr>
          <w:rFonts w:ascii="Times New Roman" w:eastAsia="Times New Roman" w:hAnsi="Times New Roman" w:cs="Times New Roman"/>
          <w:kern w:val="0"/>
          <w:sz w:val="24"/>
          <w:szCs w:val="24"/>
          <w14:ligatures w14:val="none"/>
        </w:rPr>
        <w:t xml:space="preserve"> envisions the child as a subject endowed with "a hundred </w:t>
      </w:r>
      <w:proofErr w:type="gramStart"/>
      <w:r w:rsidRPr="004E7B5B">
        <w:rPr>
          <w:rFonts w:ascii="Times New Roman" w:eastAsia="Times New Roman" w:hAnsi="Times New Roman" w:cs="Times New Roman"/>
          <w:kern w:val="0"/>
          <w:sz w:val="24"/>
          <w:szCs w:val="24"/>
          <w14:ligatures w14:val="none"/>
        </w:rPr>
        <w:t>languages"—</w:t>
      </w:r>
      <w:proofErr w:type="gramEnd"/>
      <w:r w:rsidRPr="004E7B5B">
        <w:rPr>
          <w:rFonts w:ascii="Times New Roman" w:eastAsia="Times New Roman" w:hAnsi="Times New Roman" w:cs="Times New Roman"/>
          <w:kern w:val="0"/>
          <w:sz w:val="24"/>
          <w:szCs w:val="24"/>
          <w14:ligatures w14:val="none"/>
        </w:rPr>
        <w:t>a being of immense developmental potential and inherent rights, who learns and grows through relationships with others.</w:t>
      </w:r>
    </w:p>
    <w:p w14:paraId="6752B73A"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t>A child is not merely a passive observer of the world but an active participant, equipped with the tools and curiosity to explore and understand it. Children come to know themselves and their surroundings through their interactions with the world and the people in it.</w:t>
      </w:r>
    </w:p>
    <w:p w14:paraId="6B4C2A2C"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t>This relationship is enriched by their ability to communicate internally and externally through "a hundred languages." These languages symbolize the diverse ways children express themselves—through art, play, movement, words, and imagination. Believing in these "hundred languages" challenges adults to actively listen, recognize, and value them. It compels educators and caregivers to create environments where every child’s potential can flourish.</w:t>
      </w:r>
    </w:p>
    <w:p w14:paraId="63FACEB9"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t>No domain of human or childhood experience is excluded; every field must offer opportunities for exploration, listening, and growth.</w:t>
      </w:r>
    </w:p>
    <w:p w14:paraId="27D9690C" w14:textId="77777777" w:rsidR="004E7B5B" w:rsidRPr="004E7B5B" w:rsidRDefault="004E7B5B" w:rsidP="004E7B5B">
      <w:pPr>
        <w:spacing w:after="0"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pict w14:anchorId="622C8E6D">
          <v:rect id="_x0000_i1025" style="width:0;height:1.5pt" o:hralign="center" o:hrstd="t" o:hr="t" fillcolor="#a0a0a0" stroked="f"/>
        </w:pict>
      </w:r>
    </w:p>
    <w:p w14:paraId="5A9FC308" w14:textId="77777777" w:rsidR="004E7B5B" w:rsidRPr="004E7B5B" w:rsidRDefault="004E7B5B" w:rsidP="004E7B5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E7B5B">
        <w:rPr>
          <w:rFonts w:ascii="Times New Roman" w:eastAsia="Times New Roman" w:hAnsi="Times New Roman" w:cs="Times New Roman"/>
          <w:b/>
          <w:bCs/>
          <w:i/>
          <w:iCs/>
          <w:kern w:val="0"/>
          <w:sz w:val="24"/>
          <w:szCs w:val="24"/>
          <w14:ligatures w14:val="none"/>
        </w:rPr>
        <w:t>The Hundred Languages of Children</w:t>
      </w:r>
    </w:p>
    <w:p w14:paraId="3E09E34C"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i/>
          <w:iCs/>
          <w:kern w:val="0"/>
          <w:sz w:val="24"/>
          <w:szCs w:val="24"/>
          <w14:ligatures w14:val="none"/>
        </w:rPr>
        <w:t>By Loris Malaguzzi</w:t>
      </w:r>
    </w:p>
    <w:p w14:paraId="1C61A8D6"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i/>
          <w:iCs/>
          <w:kern w:val="0"/>
          <w:sz w:val="24"/>
          <w:szCs w:val="24"/>
          <w14:ligatures w14:val="none"/>
        </w:rPr>
        <w:t>"No way.</w:t>
      </w:r>
      <w:r w:rsidRPr="004E7B5B">
        <w:rPr>
          <w:rFonts w:ascii="Times New Roman" w:eastAsia="Times New Roman" w:hAnsi="Times New Roman" w:cs="Times New Roman"/>
          <w:i/>
          <w:iCs/>
          <w:kern w:val="0"/>
          <w:sz w:val="24"/>
          <w:szCs w:val="24"/>
          <w14:ligatures w14:val="none"/>
        </w:rPr>
        <w:br/>
        <w:t>The hundred is there.</w:t>
      </w:r>
      <w:r w:rsidRPr="004E7B5B">
        <w:rPr>
          <w:rFonts w:ascii="Times New Roman" w:eastAsia="Times New Roman" w:hAnsi="Times New Roman" w:cs="Times New Roman"/>
          <w:i/>
          <w:iCs/>
          <w:kern w:val="0"/>
          <w:sz w:val="24"/>
          <w:szCs w:val="24"/>
          <w14:ligatures w14:val="none"/>
        </w:rPr>
        <w:br/>
        <w:t>The child is made of one hundred.</w:t>
      </w:r>
      <w:r w:rsidRPr="004E7B5B">
        <w:rPr>
          <w:rFonts w:ascii="Times New Roman" w:eastAsia="Times New Roman" w:hAnsi="Times New Roman" w:cs="Times New Roman"/>
          <w:i/>
          <w:iCs/>
          <w:kern w:val="0"/>
          <w:sz w:val="24"/>
          <w:szCs w:val="24"/>
          <w14:ligatures w14:val="none"/>
        </w:rPr>
        <w:br/>
        <w:t>The child has a hundred languages</w:t>
      </w:r>
      <w:r w:rsidRPr="004E7B5B">
        <w:rPr>
          <w:rFonts w:ascii="Times New Roman" w:eastAsia="Times New Roman" w:hAnsi="Times New Roman" w:cs="Times New Roman"/>
          <w:i/>
          <w:iCs/>
          <w:kern w:val="0"/>
          <w:sz w:val="24"/>
          <w:szCs w:val="24"/>
          <w14:ligatures w14:val="none"/>
        </w:rPr>
        <w:br/>
        <w:t>a hundred hands</w:t>
      </w:r>
      <w:r w:rsidRPr="004E7B5B">
        <w:rPr>
          <w:rFonts w:ascii="Times New Roman" w:eastAsia="Times New Roman" w:hAnsi="Times New Roman" w:cs="Times New Roman"/>
          <w:i/>
          <w:iCs/>
          <w:kern w:val="0"/>
          <w:sz w:val="24"/>
          <w:szCs w:val="24"/>
          <w14:ligatures w14:val="none"/>
        </w:rPr>
        <w:br/>
        <w:t>a hundred thoughts</w:t>
      </w:r>
      <w:r w:rsidRPr="004E7B5B">
        <w:rPr>
          <w:rFonts w:ascii="Times New Roman" w:eastAsia="Times New Roman" w:hAnsi="Times New Roman" w:cs="Times New Roman"/>
          <w:i/>
          <w:iCs/>
          <w:kern w:val="0"/>
          <w:sz w:val="24"/>
          <w:szCs w:val="24"/>
          <w14:ligatures w14:val="none"/>
        </w:rPr>
        <w:br/>
        <w:t>a hundred ways of thinking</w:t>
      </w:r>
      <w:r w:rsidRPr="004E7B5B">
        <w:rPr>
          <w:rFonts w:ascii="Times New Roman" w:eastAsia="Times New Roman" w:hAnsi="Times New Roman" w:cs="Times New Roman"/>
          <w:i/>
          <w:iCs/>
          <w:kern w:val="0"/>
          <w:sz w:val="24"/>
          <w:szCs w:val="24"/>
          <w14:ligatures w14:val="none"/>
        </w:rPr>
        <w:br/>
        <w:t>of playing, of speaking.</w:t>
      </w:r>
      <w:r w:rsidRPr="004E7B5B">
        <w:rPr>
          <w:rFonts w:ascii="Times New Roman" w:eastAsia="Times New Roman" w:hAnsi="Times New Roman" w:cs="Times New Roman"/>
          <w:i/>
          <w:iCs/>
          <w:kern w:val="0"/>
          <w:sz w:val="24"/>
          <w:szCs w:val="24"/>
          <w14:ligatures w14:val="none"/>
        </w:rPr>
        <w:br/>
        <w:t>A hundred, always a hundred</w:t>
      </w:r>
      <w:r w:rsidRPr="004E7B5B">
        <w:rPr>
          <w:rFonts w:ascii="Times New Roman" w:eastAsia="Times New Roman" w:hAnsi="Times New Roman" w:cs="Times New Roman"/>
          <w:i/>
          <w:iCs/>
          <w:kern w:val="0"/>
          <w:sz w:val="24"/>
          <w:szCs w:val="24"/>
          <w14:ligatures w14:val="none"/>
        </w:rPr>
        <w:br/>
        <w:t>ways of listening</w:t>
      </w:r>
      <w:r w:rsidRPr="004E7B5B">
        <w:rPr>
          <w:rFonts w:ascii="Times New Roman" w:eastAsia="Times New Roman" w:hAnsi="Times New Roman" w:cs="Times New Roman"/>
          <w:i/>
          <w:iCs/>
          <w:kern w:val="0"/>
          <w:sz w:val="24"/>
          <w:szCs w:val="24"/>
          <w14:ligatures w14:val="none"/>
        </w:rPr>
        <w:br/>
        <w:t>of marveling, of loving</w:t>
      </w:r>
      <w:r w:rsidRPr="004E7B5B">
        <w:rPr>
          <w:rFonts w:ascii="Times New Roman" w:eastAsia="Times New Roman" w:hAnsi="Times New Roman" w:cs="Times New Roman"/>
          <w:i/>
          <w:iCs/>
          <w:kern w:val="0"/>
          <w:sz w:val="24"/>
          <w:szCs w:val="24"/>
          <w14:ligatures w14:val="none"/>
        </w:rPr>
        <w:br/>
        <w:t>a hundred joys</w:t>
      </w:r>
      <w:r w:rsidRPr="004E7B5B">
        <w:rPr>
          <w:rFonts w:ascii="Times New Roman" w:eastAsia="Times New Roman" w:hAnsi="Times New Roman" w:cs="Times New Roman"/>
          <w:i/>
          <w:iCs/>
          <w:kern w:val="0"/>
          <w:sz w:val="24"/>
          <w:szCs w:val="24"/>
          <w14:ligatures w14:val="none"/>
        </w:rPr>
        <w:br/>
        <w:t>for singing and understanding</w:t>
      </w:r>
      <w:r w:rsidRPr="004E7B5B">
        <w:rPr>
          <w:rFonts w:ascii="Times New Roman" w:eastAsia="Times New Roman" w:hAnsi="Times New Roman" w:cs="Times New Roman"/>
          <w:i/>
          <w:iCs/>
          <w:kern w:val="0"/>
          <w:sz w:val="24"/>
          <w:szCs w:val="24"/>
          <w14:ligatures w14:val="none"/>
        </w:rPr>
        <w:br/>
        <w:t>a hundred worlds to discover</w:t>
      </w:r>
      <w:r w:rsidRPr="004E7B5B">
        <w:rPr>
          <w:rFonts w:ascii="Times New Roman" w:eastAsia="Times New Roman" w:hAnsi="Times New Roman" w:cs="Times New Roman"/>
          <w:i/>
          <w:iCs/>
          <w:kern w:val="0"/>
          <w:sz w:val="24"/>
          <w:szCs w:val="24"/>
          <w14:ligatures w14:val="none"/>
        </w:rPr>
        <w:br/>
        <w:t>a hundred worlds to invent</w:t>
      </w:r>
      <w:r w:rsidRPr="004E7B5B">
        <w:rPr>
          <w:rFonts w:ascii="Times New Roman" w:eastAsia="Times New Roman" w:hAnsi="Times New Roman" w:cs="Times New Roman"/>
          <w:i/>
          <w:iCs/>
          <w:kern w:val="0"/>
          <w:sz w:val="24"/>
          <w:szCs w:val="24"/>
          <w14:ligatures w14:val="none"/>
        </w:rPr>
        <w:br/>
        <w:t>a hundred worlds to dream…"</w:t>
      </w:r>
    </w:p>
    <w:p w14:paraId="6996E57E" w14:textId="77777777" w:rsidR="004E7B5B" w:rsidRPr="004E7B5B" w:rsidRDefault="004E7B5B" w:rsidP="004E7B5B">
      <w:pPr>
        <w:spacing w:after="0"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pict w14:anchorId="6260D16C">
          <v:rect id="_x0000_i1026" style="width:0;height:1.5pt" o:hralign="center" o:hrstd="t" o:hr="t" fillcolor="#a0a0a0" stroked="f"/>
        </w:pict>
      </w:r>
    </w:p>
    <w:p w14:paraId="5CEF051D" w14:textId="77777777" w:rsidR="004E7B5B" w:rsidRPr="004E7B5B" w:rsidRDefault="004E7B5B" w:rsidP="004E7B5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7B5B">
        <w:rPr>
          <w:rFonts w:ascii="Times New Roman" w:eastAsia="Times New Roman" w:hAnsi="Times New Roman" w:cs="Times New Roman"/>
          <w:kern w:val="0"/>
          <w:sz w:val="24"/>
          <w:szCs w:val="24"/>
          <w14:ligatures w14:val="none"/>
        </w:rPr>
        <w:lastRenderedPageBreak/>
        <w:t>At the heart of this philosophy is the belief in the richness and complexity of childhood, where every child is seen as a capable, creative, and curious individual with infinite ways to express themselves and connect with the world.</w:t>
      </w:r>
    </w:p>
    <w:p w14:paraId="0AAB957F" w14:textId="77777777" w:rsidR="00116EC5" w:rsidRPr="004E7B5B" w:rsidRDefault="00116EC5" w:rsidP="004E7B5B"/>
    <w:sectPr w:rsidR="00116EC5" w:rsidRPr="004E7B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58"/>
    <w:rsid w:val="00067143"/>
    <w:rsid w:val="000E1F99"/>
    <w:rsid w:val="00116EC5"/>
    <w:rsid w:val="001E7108"/>
    <w:rsid w:val="002E70AB"/>
    <w:rsid w:val="00321F79"/>
    <w:rsid w:val="004E7B5B"/>
    <w:rsid w:val="00881A1A"/>
    <w:rsid w:val="009044EF"/>
    <w:rsid w:val="009D1E58"/>
    <w:rsid w:val="00BF556F"/>
    <w:rsid w:val="00C910D8"/>
    <w:rsid w:val="00D1623F"/>
    <w:rsid w:val="00D4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F1DC"/>
  <w15:chartTrackingRefBased/>
  <w15:docId w15:val="{F2690C27-38AE-4C23-A329-4F69199B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E58"/>
    <w:rPr>
      <w:rFonts w:eastAsiaTheme="majorEastAsia" w:cstheme="majorBidi"/>
      <w:color w:val="272727" w:themeColor="text1" w:themeTint="D8"/>
    </w:rPr>
  </w:style>
  <w:style w:type="paragraph" w:styleId="Title">
    <w:name w:val="Title"/>
    <w:basedOn w:val="Normal"/>
    <w:next w:val="Normal"/>
    <w:link w:val="TitleChar"/>
    <w:uiPriority w:val="10"/>
    <w:qFormat/>
    <w:rsid w:val="009D1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E58"/>
    <w:pPr>
      <w:spacing w:before="160"/>
      <w:jc w:val="center"/>
    </w:pPr>
    <w:rPr>
      <w:i/>
      <w:iCs/>
      <w:color w:val="404040" w:themeColor="text1" w:themeTint="BF"/>
    </w:rPr>
  </w:style>
  <w:style w:type="character" w:customStyle="1" w:styleId="QuoteChar">
    <w:name w:val="Quote Char"/>
    <w:basedOn w:val="DefaultParagraphFont"/>
    <w:link w:val="Quote"/>
    <w:uiPriority w:val="29"/>
    <w:rsid w:val="009D1E58"/>
    <w:rPr>
      <w:i/>
      <w:iCs/>
      <w:color w:val="404040" w:themeColor="text1" w:themeTint="BF"/>
    </w:rPr>
  </w:style>
  <w:style w:type="paragraph" w:styleId="ListParagraph">
    <w:name w:val="List Paragraph"/>
    <w:basedOn w:val="Normal"/>
    <w:uiPriority w:val="34"/>
    <w:qFormat/>
    <w:rsid w:val="009D1E58"/>
    <w:pPr>
      <w:ind w:left="720"/>
      <w:contextualSpacing/>
    </w:pPr>
  </w:style>
  <w:style w:type="character" w:styleId="IntenseEmphasis">
    <w:name w:val="Intense Emphasis"/>
    <w:basedOn w:val="DefaultParagraphFont"/>
    <w:uiPriority w:val="21"/>
    <w:qFormat/>
    <w:rsid w:val="009D1E58"/>
    <w:rPr>
      <w:i/>
      <w:iCs/>
      <w:color w:val="0F4761" w:themeColor="accent1" w:themeShade="BF"/>
    </w:rPr>
  </w:style>
  <w:style w:type="paragraph" w:styleId="IntenseQuote">
    <w:name w:val="Intense Quote"/>
    <w:basedOn w:val="Normal"/>
    <w:next w:val="Normal"/>
    <w:link w:val="IntenseQuoteChar"/>
    <w:uiPriority w:val="30"/>
    <w:qFormat/>
    <w:rsid w:val="009D1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E58"/>
    <w:rPr>
      <w:i/>
      <w:iCs/>
      <w:color w:val="0F4761" w:themeColor="accent1" w:themeShade="BF"/>
    </w:rPr>
  </w:style>
  <w:style w:type="character" w:styleId="IntenseReference">
    <w:name w:val="Intense Reference"/>
    <w:basedOn w:val="DefaultParagraphFont"/>
    <w:uiPriority w:val="32"/>
    <w:qFormat/>
    <w:rsid w:val="009D1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619071">
      <w:bodyDiv w:val="1"/>
      <w:marLeft w:val="0"/>
      <w:marRight w:val="0"/>
      <w:marTop w:val="0"/>
      <w:marBottom w:val="0"/>
      <w:divBdr>
        <w:top w:val="none" w:sz="0" w:space="0" w:color="auto"/>
        <w:left w:val="none" w:sz="0" w:space="0" w:color="auto"/>
        <w:bottom w:val="none" w:sz="0" w:space="0" w:color="auto"/>
        <w:right w:val="none" w:sz="0" w:space="0" w:color="auto"/>
      </w:divBdr>
    </w:div>
    <w:div w:id="1692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Vatavi Veronica</dc:creator>
  <cp:keywords/>
  <dc:description/>
  <cp:lastModifiedBy>Vatavi Veronica</cp:lastModifiedBy>
  <cp:revision>3</cp:revision>
  <dcterms:created xsi:type="dcterms:W3CDTF">2024-09-19T15:36:00Z</dcterms:created>
  <dcterms:modified xsi:type="dcterms:W3CDTF">2024-11-11T02:15:00Z</dcterms:modified>
</cp:coreProperties>
</file>